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 w:cs="Times New Roman"/>
          <w:b/>
          <w:snapToGrid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76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b/>
          <w:sz w:val="44"/>
          <w:szCs w:val="44"/>
        </w:rPr>
        <w:t>定向攻关项目申报指南</w:t>
      </w:r>
      <w:bookmarkEnd w:id="0"/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44"/>
          <w:szCs w:val="44"/>
        </w:rPr>
        <w:t xml:space="preserve">   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一、支持范围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国家级经开区、高新区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和省级战新产业基地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关键核心技术研发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“卡脖子”技术攻关。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二、申报要求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项目围绕我市高质量发展重大需求，聚焦我市主导产业和战新产业发展的前瞻性技术、颠覆性技术和关键核心技术，集中力量突破一批卡脖子核心关键技术，推动产业发展与科技创新深度融合，引导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支柱产业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转型升级，战新产业集聚突破。项目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具有明确研究开发内容及预期重大科研攻关成果，</w:t>
      </w:r>
      <w:r>
        <w:rPr>
          <w:rFonts w:ascii="Times New Roman" w:hAnsi="Times New Roman" w:eastAsia="仿宋_GB2312" w:cs="Times New Roman"/>
          <w:sz w:val="32"/>
          <w:szCs w:val="32"/>
        </w:rPr>
        <w:t>实施期一般不超过3年。联合申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的项目须提供合作协议，明确各方分工、知识产权归属等。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.申报单位须具备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能力和</w:t>
      </w:r>
      <w:r>
        <w:rPr>
          <w:rFonts w:ascii="Times New Roman" w:hAnsi="Times New Roman" w:eastAsia="仿宋_GB2312" w:cs="Times New Roman"/>
          <w:sz w:val="32"/>
          <w:szCs w:val="32"/>
        </w:rPr>
        <w:t>研发基础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建有省级以上研发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机构和市</w:t>
      </w:r>
      <w:r>
        <w:rPr>
          <w:rFonts w:ascii="Times New Roman" w:hAnsi="Times New Roman" w:eastAsia="仿宋_GB2312" w:cs="Times New Roman"/>
          <w:sz w:val="32"/>
          <w:szCs w:val="32"/>
        </w:rPr>
        <w:t>重点研发创新平台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重点产业技术研究院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.项目研发投入不少于500万元，企业自筹资金与申请市财政资金的比例应达到4：1以上。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由国家级经开区、高新区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和省级战新基地所在载体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科技管理部门按照指南要求组织申报。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科技局、开发区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牵头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遴选项目，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县区政府、开发区管委会组织专家评审，经会议研究决策后，限额推荐。每个单位限额推荐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市科技局与市战新办、发改委、财政局、经信局、市产业创新中心等部门会商审定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tLeast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060E"/>
    <w:rsid w:val="16452B55"/>
    <w:rsid w:val="18AF5C97"/>
    <w:rsid w:val="20A70136"/>
    <w:rsid w:val="25C15447"/>
    <w:rsid w:val="28444525"/>
    <w:rsid w:val="30D17AE5"/>
    <w:rsid w:val="337B554E"/>
    <w:rsid w:val="355B46A8"/>
    <w:rsid w:val="3B97311F"/>
    <w:rsid w:val="49847926"/>
    <w:rsid w:val="53802282"/>
    <w:rsid w:val="55EC5727"/>
    <w:rsid w:val="58205CD6"/>
    <w:rsid w:val="595030EE"/>
    <w:rsid w:val="5DC550A6"/>
    <w:rsid w:val="6778149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丁小露</cp:lastModifiedBy>
  <cp:lastPrinted>2020-03-27T03:42:00Z</cp:lastPrinted>
  <dcterms:modified xsi:type="dcterms:W3CDTF">2020-03-31T09:35:58Z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